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</w:rPr>
        <w:alias w:val="Vaše meno"/>
        <w:tag w:val=""/>
        <w:id w:val="-574512284"/>
        <w:placeholder>
          <w:docPart w:val="223B9FFA8C5E47209DCA99CABA8248D5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:rsidR="002179B6" w:rsidRPr="00BB0B41" w:rsidRDefault="002514C7" w:rsidP="002179B6">
          <w:pPr>
            <w:pStyle w:val="Meno"/>
            <w:rPr>
              <w:b/>
            </w:rPr>
          </w:pPr>
          <w:r>
            <w:rPr>
              <w:b/>
            </w:rPr>
            <w:t xml:space="preserve">AUTEX </w:t>
          </w:r>
          <w:r w:rsidR="00D20D11">
            <w:rPr>
              <w:b/>
            </w:rPr>
            <w:t>HM 46</w:t>
          </w:r>
        </w:p>
      </w:sdtContent>
    </w:sdt>
    <w:tbl>
      <w:tblPr>
        <w:tblStyle w:val="Tabukaivotopisu"/>
        <w:tblW w:w="5000" w:type="pct"/>
        <w:tblInd w:w="-142" w:type="dxa"/>
        <w:tblLook w:val="04A0" w:firstRow="1" w:lastRow="0" w:firstColumn="1" w:lastColumn="0" w:noHBand="0" w:noVBand="1"/>
      </w:tblPr>
      <w:tblGrid>
        <w:gridCol w:w="1582"/>
        <w:gridCol w:w="27"/>
        <w:gridCol w:w="7463"/>
      </w:tblGrid>
      <w:tr w:rsidR="002179B6" w:rsidTr="00693AD7">
        <w:tc>
          <w:tcPr>
            <w:tcW w:w="1921" w:type="dxa"/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 w:rsidRPr="00BC7CE9">
              <w:rPr>
                <w:b/>
              </w:rPr>
              <w:t>pOPIS</w:t>
            </w:r>
          </w:p>
        </w:tc>
        <w:tc>
          <w:tcPr>
            <w:tcW w:w="64" w:type="dxa"/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</w:tcPr>
          <w:p w:rsidR="002179B6" w:rsidRPr="00785CA9" w:rsidRDefault="00A35B17" w:rsidP="00A35B17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85CA9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AUTEX</w:t>
            </w:r>
            <w:r w:rsidR="002514C7" w:rsidRPr="00785CA9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 </w:t>
            </w:r>
            <w:r w:rsidRPr="00785CA9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HM 46 </w:t>
            </w:r>
            <w:r w:rsidR="00785CA9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je  </w:t>
            </w:r>
            <w:r w:rsidR="00785CA9" w:rsidRPr="00785CA9">
              <w:rPr>
                <w:rFonts w:ascii="Arial Unicode MS" w:eastAsia="Arial Unicode MS" w:hAnsi="Arial Unicode MS" w:cs="Arial Unicode MS"/>
                <w:sz w:val="18"/>
                <w:szCs w:val="18"/>
              </w:rPr>
              <w:t>hydraulický olej</w:t>
            </w:r>
            <w:r w:rsidR="00785CA9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="00785CA9" w:rsidRPr="00785CA9">
              <w:rPr>
                <w:rFonts w:ascii="Arial Unicode MS" w:eastAsia="Arial Unicode MS" w:hAnsi="Arial Unicode MS" w:cs="Arial Unicode MS"/>
                <w:sz w:val="18"/>
                <w:szCs w:val="18"/>
              </w:rPr>
              <w:t>univerzálna hydraulická kvapalina, vyrobená z hlboko rafinovaných základových olejov, ktoré</w:t>
            </w:r>
            <w:r w:rsidR="00185897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="00785CA9" w:rsidRPr="00785CA9">
              <w:rPr>
                <w:rFonts w:ascii="Arial Unicode MS" w:eastAsia="Arial Unicode MS" w:hAnsi="Arial Unicode MS" w:cs="Arial Unicode MS"/>
                <w:sz w:val="18"/>
                <w:szCs w:val="18"/>
              </w:rPr>
              <w:t>obsahujú prísady pre zlepšenie nízkoteplotných vlastností, vrátane zinkovej prísady pre zníženie opotrebenia. Spĺňa</w:t>
            </w:r>
            <w:r w:rsidR="00185897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="00785CA9" w:rsidRPr="00785CA9">
              <w:rPr>
                <w:rFonts w:ascii="Arial Unicode MS" w:eastAsia="Arial Unicode MS" w:hAnsi="Arial Unicode MS" w:cs="Arial Unicode MS"/>
                <w:sz w:val="18"/>
                <w:szCs w:val="18"/>
              </w:rPr>
              <w:t>alebo prevyšuje požiadavky noriem DIN 51524-časť 2 (HLP), ISO 11158 (HM). Poskytuje spoľahlivý výkon pre</w:t>
            </w:r>
            <w:r w:rsidR="00785CA9" w:rsidRPr="00785CA9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široký rozsah priemyselných a mobilných hydraulických zariadení.</w:t>
            </w:r>
          </w:p>
        </w:tc>
      </w:tr>
      <w:tr w:rsidR="002179B6" w:rsidTr="00693AD7">
        <w:tc>
          <w:tcPr>
            <w:tcW w:w="1921" w:type="dxa"/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 w:rsidRPr="00BC7CE9">
              <w:rPr>
                <w:b/>
                <w:lang w:bidi="sk-SK"/>
              </w:rPr>
              <w:t>pOUžITIE</w:t>
            </w:r>
          </w:p>
        </w:tc>
        <w:tc>
          <w:tcPr>
            <w:tcW w:w="64" w:type="dxa"/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</w:tcPr>
          <w:p w:rsidR="00185897" w:rsidRPr="00185897" w:rsidRDefault="00185897" w:rsidP="0018589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185897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Hydraulické systémy pracujúce pri vysokých tlakoch a v ťažkých prevádzkových podmienkach</w:t>
            </w:r>
          </w:p>
          <w:p w:rsidR="00185897" w:rsidRPr="00185897" w:rsidRDefault="00185897" w:rsidP="0018589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185897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Hydraulické systémy obrábacích strojov</w:t>
            </w:r>
          </w:p>
          <w:p w:rsidR="00185897" w:rsidRPr="00185897" w:rsidRDefault="00185897" w:rsidP="0018589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185897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Cirkulačné systémy</w:t>
            </w:r>
          </w:p>
          <w:p w:rsidR="00185897" w:rsidRPr="00185897" w:rsidRDefault="00185897" w:rsidP="0018589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185897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Hydraulické systémy strojov používaných v plastovom priemysle</w:t>
            </w:r>
          </w:p>
          <w:p w:rsidR="00185897" w:rsidRPr="00185897" w:rsidRDefault="00185897" w:rsidP="0018589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proofErr w:type="spellStart"/>
            <w:r w:rsidRPr="00185897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Turbo</w:t>
            </w:r>
            <w:proofErr w:type="spellEnd"/>
            <w:r w:rsidRPr="00185897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-, skrutkové a lamelové kompresory</w:t>
            </w:r>
          </w:p>
          <w:p w:rsidR="00185897" w:rsidRPr="00185897" w:rsidRDefault="00185897" w:rsidP="0018589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185897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Hydraulické systémy zemných a lesníckych strojov</w:t>
            </w:r>
          </w:p>
          <w:p w:rsidR="002179B6" w:rsidRPr="0012103F" w:rsidRDefault="002179B6" w:rsidP="00A35B17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UnicodeMS" w:eastAsiaTheme="minorHAnsi" w:hAnsi="ArialUnicodeMS" w:cs="ArialUnicodeMS"/>
                <w:color w:val="000000"/>
                <w:kern w:val="0"/>
                <w:lang w:eastAsia="en-US"/>
              </w:rPr>
            </w:pPr>
          </w:p>
        </w:tc>
      </w:tr>
      <w:tr w:rsidR="002179B6" w:rsidRPr="00BB0B41" w:rsidTr="00A35AE2">
        <w:tc>
          <w:tcPr>
            <w:tcW w:w="1921" w:type="dxa"/>
            <w:tcBorders>
              <w:bottom w:val="single" w:sz="4" w:space="0" w:color="4F81BD" w:themeColor="accent1"/>
            </w:tcBorders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>
              <w:rPr>
                <w:b/>
              </w:rPr>
              <w:t>vlastnosti</w:t>
            </w:r>
          </w:p>
        </w:tc>
        <w:tc>
          <w:tcPr>
            <w:tcW w:w="64" w:type="dxa"/>
            <w:tcBorders>
              <w:bottom w:val="single" w:sz="4" w:space="0" w:color="4F81BD" w:themeColor="accent1"/>
            </w:tcBorders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  <w:tcBorders>
              <w:bottom w:val="single" w:sz="4" w:space="0" w:color="4F81BD" w:themeColor="accent1"/>
            </w:tcBorders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00"/>
              <w:gridCol w:w="5263"/>
            </w:tblGrid>
            <w:tr w:rsidR="00185897" w:rsidRPr="00185897" w:rsidTr="0018589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85897" w:rsidRPr="00185897" w:rsidRDefault="00185897" w:rsidP="00185897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185897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Dobrá odolnosť voči opotrebovaniu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5897" w:rsidRPr="00185897" w:rsidRDefault="00185897" w:rsidP="00185897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185897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Spoľahlivá ochrana zariadenia a dlhá životnosť stroja</w:t>
                  </w:r>
                </w:p>
                <w:p w:rsidR="00185897" w:rsidRPr="00185897" w:rsidRDefault="00185897" w:rsidP="00185897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185897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Prispieva k predĺženiu životnosti zariadenia</w:t>
                  </w:r>
                </w:p>
              </w:tc>
            </w:tr>
            <w:tr w:rsidR="00185897" w:rsidRPr="00185897" w:rsidTr="0018589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85897" w:rsidRPr="00185897" w:rsidRDefault="00185897" w:rsidP="00185897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185897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Dobrá tepelná a hydrolytická stálosť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5897" w:rsidRPr="00185897" w:rsidRDefault="00185897" w:rsidP="00185897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185897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 xml:space="preserve">Zabezpečuje spoľahlivú prevádzku </w:t>
                  </w:r>
                  <w:proofErr w:type="spellStart"/>
                  <w:r w:rsidRPr="00185897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servopohonov</w:t>
                  </w:r>
                  <w:proofErr w:type="spellEnd"/>
                  <w:r w:rsidRPr="00185897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 xml:space="preserve"> a regulačných ventilov</w:t>
                  </w:r>
                </w:p>
                <w:p w:rsidR="00185897" w:rsidRPr="00185897" w:rsidRDefault="00185897" w:rsidP="00185897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185897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Nízka tvorba usadenín</w:t>
                  </w:r>
                </w:p>
                <w:p w:rsidR="00185897" w:rsidRPr="00185897" w:rsidRDefault="00185897" w:rsidP="00185897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185897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Dlhý výmenný interval oleja</w:t>
                  </w:r>
                </w:p>
                <w:p w:rsidR="00185897" w:rsidRPr="00185897" w:rsidRDefault="00185897" w:rsidP="00185897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185897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Spoľahlivá prevádzka, nízke prevádzkové náklady</w:t>
                  </w:r>
                </w:p>
              </w:tc>
            </w:tr>
            <w:tr w:rsidR="00185897" w:rsidRPr="00185897" w:rsidTr="0018589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85897" w:rsidRPr="00185897" w:rsidRDefault="00185897" w:rsidP="00185897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185897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Vynikajúca filtrovateľnosť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5897" w:rsidRPr="00185897" w:rsidRDefault="00185897" w:rsidP="00185897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185897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Prítomnosť vlhkosti nezhorší filtrovateľnosť</w:t>
                  </w:r>
                </w:p>
                <w:p w:rsidR="00185897" w:rsidRPr="00185897" w:rsidRDefault="00185897" w:rsidP="00185897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185897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Nižšie náklady na údržbu a dopad na životné prostredie</w:t>
                  </w:r>
                </w:p>
              </w:tc>
            </w:tr>
            <w:tr w:rsidR="00185897" w:rsidRPr="00185897" w:rsidTr="0018589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85897" w:rsidRPr="00185897" w:rsidRDefault="00185897" w:rsidP="00185897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185897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 xml:space="preserve">Dobrá </w:t>
                  </w:r>
                  <w:proofErr w:type="spellStart"/>
                  <w:r w:rsidRPr="00185897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odlúčivosť</w:t>
                  </w:r>
                  <w:proofErr w:type="spellEnd"/>
                  <w:r w:rsidRPr="00185897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 xml:space="preserve"> vody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5897" w:rsidRPr="00185897" w:rsidRDefault="00185897" w:rsidP="00185897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185897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Vodu nahromadenú na dne nádoby je možné ľahko odstrániť</w:t>
                  </w:r>
                </w:p>
                <w:p w:rsidR="00185897" w:rsidRPr="00185897" w:rsidRDefault="00185897" w:rsidP="00185897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185897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Chráni voči abnormálnej korózii a opotrebeniu zariadenia</w:t>
                  </w:r>
                </w:p>
                <w:p w:rsidR="00185897" w:rsidRPr="00185897" w:rsidRDefault="00185897" w:rsidP="00185897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185897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Dlhší výmenný interval oleja a životnosť zariadenia</w:t>
                  </w:r>
                </w:p>
              </w:tc>
            </w:tr>
            <w:tr w:rsidR="00185897" w:rsidRPr="00185897" w:rsidTr="0018589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85897" w:rsidRPr="00185897" w:rsidRDefault="00185897" w:rsidP="00185897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185897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Dobrá ochrana proti korózii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5897" w:rsidRPr="00185897" w:rsidRDefault="00185897" w:rsidP="00185897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185897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Dlhodobá ochrana ocele a neželezných kovových častí aj za prítomnosti vlhkosti</w:t>
                  </w:r>
                </w:p>
              </w:tc>
            </w:tr>
            <w:tr w:rsidR="00185897" w:rsidRPr="00185897" w:rsidTr="0018589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85897" w:rsidRPr="00185897" w:rsidRDefault="00185897" w:rsidP="00185897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185897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 xml:space="preserve">Rýchla </w:t>
                  </w:r>
                  <w:proofErr w:type="spellStart"/>
                  <w:r w:rsidRPr="00185897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odlúčivosť</w:t>
                  </w:r>
                  <w:proofErr w:type="spellEnd"/>
                  <w:r w:rsidRPr="00185897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 xml:space="preserve"> </w:t>
                  </w:r>
                  <w:r w:rsidRPr="00185897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lastRenderedPageBreak/>
                    <w:t>vzduchu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5897" w:rsidRPr="00185897" w:rsidRDefault="00185897" w:rsidP="00185897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185897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lastRenderedPageBreak/>
                    <w:t xml:space="preserve">Nižšie riziko </w:t>
                  </w:r>
                  <w:proofErr w:type="spellStart"/>
                  <w:r w:rsidRPr="00185897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kavitácie</w:t>
                  </w:r>
                  <w:proofErr w:type="spellEnd"/>
                </w:p>
                <w:p w:rsidR="00185897" w:rsidRPr="00185897" w:rsidRDefault="00185897" w:rsidP="00185897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185897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lastRenderedPageBreak/>
                    <w:t>Odchádzajúci vzduch nespôsobuje netypické zvýšenie penivosti</w:t>
                  </w:r>
                </w:p>
                <w:p w:rsidR="00185897" w:rsidRPr="00185897" w:rsidRDefault="00185897" w:rsidP="00185897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185897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Spoľahlivá prevádzka a dlhšia životnosť zariadenia</w:t>
                  </w:r>
                </w:p>
              </w:tc>
            </w:tr>
          </w:tbl>
          <w:p w:rsidR="002179B6" w:rsidRPr="00185897" w:rsidRDefault="002179B6" w:rsidP="00693AD7">
            <w:pPr>
              <w:pStyle w:val="Defaul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tbl>
            <w:tblPr>
              <w:tblW w:w="71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73"/>
              <w:gridCol w:w="3406"/>
            </w:tblGrid>
            <w:tr w:rsidR="00FC1CBD" w:rsidRPr="00185897" w:rsidTr="00FC1CBD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185897" w:rsidRDefault="00FC1CB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</w:pPr>
                  <w:r w:rsidRPr="00185897"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  <w:t>Vlastnosti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185897" w:rsidRDefault="00FC1CB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</w:pPr>
                  <w:r w:rsidRPr="00185897"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  <w:t>Typické hodnoty</w:t>
                  </w:r>
                </w:p>
              </w:tc>
            </w:tr>
            <w:tr w:rsidR="00FC1CBD" w:rsidRPr="00185897" w:rsidTr="00F3792C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185897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185897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Merná hmotnosť pri 15 °C [g/cm3]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185897" w:rsidRDefault="00A35B17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185897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0,875</w:t>
                  </w:r>
                </w:p>
              </w:tc>
            </w:tr>
            <w:tr w:rsidR="00FC1CBD" w:rsidRPr="00185897" w:rsidTr="00F3792C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185897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185897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Kinematická viskozita pri 40 °C [mm2/s]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185897" w:rsidRDefault="00A35B17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185897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44,5</w:t>
                  </w:r>
                </w:p>
              </w:tc>
            </w:tr>
            <w:tr w:rsidR="00FC1CBD" w:rsidRPr="00185897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185897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185897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Kinematická viskozita pri 100 °C [mm2/s]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185897" w:rsidRDefault="00A35B17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185897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6,5</w:t>
                  </w:r>
                </w:p>
              </w:tc>
            </w:tr>
            <w:tr w:rsidR="00FC1CBD" w:rsidRPr="00185897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185897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185897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Viskozitný index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185897" w:rsidRDefault="00A35B17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185897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94</w:t>
                  </w:r>
                </w:p>
              </w:tc>
            </w:tr>
            <w:tr w:rsidR="00FC1CBD" w:rsidRPr="00185897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185897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185897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Bod tuhnutia [°C]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185897" w:rsidRDefault="009A0FAA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185897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-27</w:t>
                  </w:r>
                </w:p>
              </w:tc>
            </w:tr>
            <w:tr w:rsidR="00FC1CBD" w:rsidRPr="00185897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185897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185897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Bod vzplanutia v otvorenom tégliku (Cleveland) [°C]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185897" w:rsidRDefault="00A35B17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185897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225</w:t>
                  </w:r>
                </w:p>
              </w:tc>
            </w:tr>
          </w:tbl>
          <w:p w:rsidR="002179B6" w:rsidRPr="00185897" w:rsidRDefault="001661FE" w:rsidP="00693AD7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185897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Vlastnosti v tabuľke sú typické hodnoty produktu a nepredstavujú špecifikáciu.</w:t>
            </w:r>
          </w:p>
          <w:p w:rsidR="002179B6" w:rsidRPr="00185897" w:rsidRDefault="002179B6" w:rsidP="00693AD7">
            <w:pPr>
              <w:pStyle w:val="Textivotopisu"/>
              <w:spacing w:line="312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2179B6" w:rsidTr="00A35AE2">
        <w:tc>
          <w:tcPr>
            <w:tcW w:w="1921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2179B6" w:rsidRPr="00BC7CE9" w:rsidRDefault="00327E21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>
              <w:rPr>
                <w:b/>
              </w:rPr>
              <w:lastRenderedPageBreak/>
              <w:t>Špecifikácie   a  súhlasy</w:t>
            </w:r>
          </w:p>
        </w:tc>
        <w:tc>
          <w:tcPr>
            <w:tcW w:w="64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A35B17" w:rsidRPr="00185897" w:rsidRDefault="00A35B17" w:rsidP="00A35B17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</w:pPr>
            <w:r w:rsidRPr="00185897"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  <w:t>Viskozitná trieda: ISO VG 46</w:t>
            </w:r>
          </w:p>
          <w:p w:rsidR="00A35B17" w:rsidRPr="00185897" w:rsidRDefault="00A35B17" w:rsidP="00A35B17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FFFFFF"/>
                <w:kern w:val="0"/>
                <w:sz w:val="18"/>
                <w:szCs w:val="18"/>
                <w:lang w:eastAsia="en-US"/>
              </w:rPr>
            </w:pPr>
            <w:r w:rsidRPr="00185897"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  <w:t>ISO 11158 HM</w:t>
            </w:r>
          </w:p>
          <w:p w:rsidR="00A35B17" w:rsidRPr="00185897" w:rsidRDefault="00A35B17" w:rsidP="00A35B17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</w:pPr>
            <w:r w:rsidRPr="00185897"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  <w:t>ISO-L-HM</w:t>
            </w:r>
          </w:p>
          <w:p w:rsidR="00A35B17" w:rsidRPr="00185897" w:rsidRDefault="00A35B17" w:rsidP="00A35B17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</w:pPr>
            <w:r w:rsidRPr="00185897"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  <w:t>DIN 51524-2 (HLP)</w:t>
            </w:r>
          </w:p>
          <w:p w:rsidR="000B486B" w:rsidRPr="00185897" w:rsidRDefault="00A35B17" w:rsidP="00A35B17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185897"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  <w:t>AFNOR NF-E-48603 (HM)</w:t>
            </w:r>
          </w:p>
        </w:tc>
      </w:tr>
      <w:tr w:rsidR="002179B6" w:rsidTr="00A35B17">
        <w:trPr>
          <w:trHeight w:val="2645"/>
        </w:trPr>
        <w:tc>
          <w:tcPr>
            <w:tcW w:w="1921" w:type="dxa"/>
            <w:tcBorders>
              <w:top w:val="single" w:sz="4" w:space="0" w:color="auto"/>
              <w:bottom w:val="nil"/>
            </w:tcBorders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  <w:lang w:bidi="sk-SK"/>
              </w:rPr>
            </w:pPr>
            <w:r w:rsidRPr="00BC7CE9">
              <w:rPr>
                <w:b/>
                <w:lang w:bidi="sk-SK"/>
              </w:rPr>
              <w:t xml:space="preserve">Pokyny pre manipuláciu </w:t>
            </w:r>
            <w:r w:rsidR="00327E21">
              <w:rPr>
                <w:b/>
                <w:lang w:bidi="sk-SK"/>
              </w:rPr>
              <w:t xml:space="preserve"> </w:t>
            </w:r>
            <w:r w:rsidRPr="00BC7CE9">
              <w:rPr>
                <w:b/>
                <w:lang w:bidi="sk-SK"/>
              </w:rPr>
              <w:t>a skladovanie</w:t>
            </w:r>
          </w:p>
        </w:tc>
        <w:tc>
          <w:tcPr>
            <w:tcW w:w="64" w:type="dxa"/>
            <w:tcBorders>
              <w:top w:val="single" w:sz="4" w:space="0" w:color="auto"/>
              <w:bottom w:val="nil"/>
            </w:tcBorders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  <w:tcBorders>
              <w:top w:val="single" w:sz="4" w:space="0" w:color="auto"/>
              <w:bottom w:val="nil"/>
            </w:tcBorders>
          </w:tcPr>
          <w:p w:rsidR="0012103F" w:rsidRPr="00185897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185897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Skladujte v uzavretých originálnych obaloch na suchých miestach </w:t>
            </w:r>
          </w:p>
          <w:p w:rsidR="0012103F" w:rsidRPr="00185897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185897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Neskladovať v blízkosti výhrevných telies.</w:t>
            </w:r>
          </w:p>
          <w:p w:rsidR="0012103F" w:rsidRPr="00185897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185897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Počas prepravy, skladovania a používania výrobku dodržiavajte zásady bezpečnosti práce a ekologické pravidlá vzťahujúce s</w:t>
            </w:r>
            <w:bookmarkStart w:id="0" w:name="_GoBack"/>
            <w:bookmarkEnd w:id="0"/>
            <w:r w:rsidRPr="00185897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a k ropným výrobkom.</w:t>
            </w:r>
          </w:p>
          <w:p w:rsidR="0012103F" w:rsidRPr="00185897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185897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Pre bližšie informácie si vyžiadajte Kartu bezpečnostných údajov produktu.</w:t>
            </w:r>
          </w:p>
          <w:p w:rsidR="0012103F" w:rsidRPr="00185897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185897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Motorové oleje sú plne formulované výrobky, dodatočná </w:t>
            </w:r>
            <w:proofErr w:type="spellStart"/>
            <w:r w:rsidRPr="00185897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aditivácia</w:t>
            </w:r>
            <w:proofErr w:type="spellEnd"/>
            <w:r w:rsidRPr="00185897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 je nežiaduca a môže spôsobiť nepredvídané škody. V takomto prípade výrobca ani predajca nenesú zodpovednosť.</w:t>
            </w:r>
          </w:p>
          <w:p w:rsidR="0012103F" w:rsidRPr="00185897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185897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V pôvodnom balení pri dodržaní skladovacích podmienok: 60 mesiacov</w:t>
            </w:r>
          </w:p>
          <w:p w:rsidR="0012103F" w:rsidRPr="00185897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185897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Horľavá kvapalina: IV. triedy nebezpečnosti.</w:t>
            </w:r>
          </w:p>
          <w:p w:rsidR="002179B6" w:rsidRPr="00185897" w:rsidRDefault="0012103F" w:rsidP="0012103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185897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Odporúčaná teplota skladovania: max. 40°C</w:t>
            </w:r>
          </w:p>
        </w:tc>
      </w:tr>
    </w:tbl>
    <w:p w:rsidR="006D7EAB" w:rsidRDefault="006D7EAB" w:rsidP="00A35B17"/>
    <w:sectPr w:rsidR="006D7EAB" w:rsidSect="006D7EA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FF4" w:rsidRDefault="002A2FF4" w:rsidP="002179B6">
      <w:pPr>
        <w:spacing w:before="0" w:after="0" w:line="240" w:lineRule="auto"/>
      </w:pPr>
      <w:r>
        <w:separator/>
      </w:r>
    </w:p>
  </w:endnote>
  <w:endnote w:type="continuationSeparator" w:id="0">
    <w:p w:rsidR="002A2FF4" w:rsidRDefault="002A2FF4" w:rsidP="002179B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UnicodeM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897" w:rsidRDefault="00185897" w:rsidP="00185897">
    <w:pPr>
      <w:pStyle w:val="Pta"/>
    </w:pPr>
    <w:r>
      <w:t xml:space="preserve">AUTEX s.r.o., Kragujevská 3679/22C, 010 01 Žilina, IČO: 36389714, Mobil: 0903 735 214, E-mail: </w:t>
    </w:r>
    <w:hyperlink r:id="rId1" w:history="1">
      <w:r w:rsidRPr="00E13C00">
        <w:rPr>
          <w:rStyle w:val="Hypertextovprepojenie"/>
        </w:rPr>
        <w:t>autexhaj@autexsro.sk</w:t>
      </w:r>
    </w:hyperlink>
    <w:r>
      <w:t xml:space="preserve">, Prevádzka: Háj 207, 039 01 Turčianske Teplice, </w:t>
    </w:r>
    <w:proofErr w:type="spellStart"/>
    <w:r>
      <w:t>www.oleje-autex.sk</w:t>
    </w:r>
    <w:proofErr w:type="spellEnd"/>
    <w:r>
      <w:t>.</w:t>
    </w:r>
  </w:p>
  <w:p w:rsidR="002179B6" w:rsidRDefault="00185897">
    <w:pPr>
      <w:pStyle w:val="Pta"/>
    </w:pPr>
    <w:r>
      <w:tab/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  <w:r>
      <w:t>/2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FF4" w:rsidRDefault="002A2FF4" w:rsidP="002179B6">
      <w:pPr>
        <w:spacing w:before="0" w:after="0" w:line="240" w:lineRule="auto"/>
      </w:pPr>
      <w:r>
        <w:separator/>
      </w:r>
    </w:p>
  </w:footnote>
  <w:footnote w:type="continuationSeparator" w:id="0">
    <w:p w:rsidR="002A2FF4" w:rsidRDefault="002A2FF4" w:rsidP="002179B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9B6" w:rsidRDefault="002179B6" w:rsidP="002179B6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rPr>
        <w:rFonts w:ascii="Arial" w:hAnsi="Arial" w:cs="Arial"/>
        <w:b/>
        <w:bCs/>
        <w:color w:val="365F91" w:themeColor="accent1" w:themeShade="BF"/>
        <w:sz w:val="28"/>
        <w:szCs w:val="28"/>
      </w:rPr>
    </w:pPr>
    <w:r>
      <w:rPr>
        <w:b/>
        <w:noProof/>
        <w:sz w:val="28"/>
        <w:szCs w:val="28"/>
        <w:lang w:eastAsia="sk-SK"/>
      </w:rPr>
      <w:drawing>
        <wp:inline distT="0" distB="0" distL="0" distR="0">
          <wp:extent cx="1276350" cy="361950"/>
          <wp:effectExtent l="0" t="0" r="0" b="0"/>
          <wp:docPr id="1" name="Obrázok 1" descr="LOGO Aut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ute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color w:val="000000"/>
        <w:sz w:val="28"/>
        <w:szCs w:val="28"/>
      </w:rPr>
      <w:t xml:space="preserve">           </w:t>
    </w:r>
    <w:r>
      <w:rPr>
        <w:rFonts w:ascii="Arial" w:hAnsi="Arial" w:cs="Arial"/>
        <w:b/>
        <w:bCs/>
        <w:color w:val="365F91" w:themeColor="accent1" w:themeShade="BF"/>
        <w:sz w:val="28"/>
        <w:szCs w:val="28"/>
      </w:rPr>
      <w:t>TECHNICKO INFORMAČNÝ LIST</w:t>
    </w:r>
  </w:p>
  <w:p w:rsidR="002179B6" w:rsidRDefault="002179B6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43BA"/>
    <w:multiLevelType w:val="multilevel"/>
    <w:tmpl w:val="06AAE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CA021F"/>
    <w:multiLevelType w:val="multilevel"/>
    <w:tmpl w:val="31142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EA4435"/>
    <w:multiLevelType w:val="multilevel"/>
    <w:tmpl w:val="C770C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6C6820"/>
    <w:multiLevelType w:val="multilevel"/>
    <w:tmpl w:val="AE488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FB7CF1"/>
    <w:multiLevelType w:val="multilevel"/>
    <w:tmpl w:val="1AE87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D250E0"/>
    <w:multiLevelType w:val="multilevel"/>
    <w:tmpl w:val="EED4F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A2384F"/>
    <w:multiLevelType w:val="multilevel"/>
    <w:tmpl w:val="D62CD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9B6"/>
    <w:rsid w:val="00040609"/>
    <w:rsid w:val="000B486B"/>
    <w:rsid w:val="000D738D"/>
    <w:rsid w:val="000E404C"/>
    <w:rsid w:val="0012103F"/>
    <w:rsid w:val="001661FE"/>
    <w:rsid w:val="00185897"/>
    <w:rsid w:val="002179B6"/>
    <w:rsid w:val="002514C7"/>
    <w:rsid w:val="002A2FF4"/>
    <w:rsid w:val="002E7F35"/>
    <w:rsid w:val="00306C22"/>
    <w:rsid w:val="00327E21"/>
    <w:rsid w:val="00581E39"/>
    <w:rsid w:val="005C7B6C"/>
    <w:rsid w:val="006559EA"/>
    <w:rsid w:val="006D5423"/>
    <w:rsid w:val="006D7EAB"/>
    <w:rsid w:val="007375B5"/>
    <w:rsid w:val="00784C94"/>
    <w:rsid w:val="00785CA9"/>
    <w:rsid w:val="008A5658"/>
    <w:rsid w:val="00964E51"/>
    <w:rsid w:val="00986B26"/>
    <w:rsid w:val="009A0FAA"/>
    <w:rsid w:val="00A35AE2"/>
    <w:rsid w:val="00A35B17"/>
    <w:rsid w:val="00B24BA1"/>
    <w:rsid w:val="00BA0B2B"/>
    <w:rsid w:val="00BD2AC0"/>
    <w:rsid w:val="00D031CB"/>
    <w:rsid w:val="00D20D11"/>
    <w:rsid w:val="00DE51A9"/>
    <w:rsid w:val="00F3792C"/>
    <w:rsid w:val="00F7456F"/>
    <w:rsid w:val="00F751F3"/>
    <w:rsid w:val="00F836BF"/>
    <w:rsid w:val="00FB6A34"/>
    <w:rsid w:val="00FC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79B6"/>
    <w:pPr>
      <w:spacing w:before="40" w:after="160" w:line="288" w:lineRule="auto"/>
    </w:pPr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Nadpis1">
    <w:name w:val="heading 1"/>
    <w:basedOn w:val="Normlny"/>
    <w:next w:val="Normlny"/>
    <w:link w:val="Nadpis1Char"/>
    <w:unhideWhenUsed/>
    <w:qFormat/>
    <w:rsid w:val="002179B6"/>
    <w:pPr>
      <w:jc w:val="right"/>
      <w:outlineLvl w:val="0"/>
    </w:pPr>
    <w:rPr>
      <w:rFonts w:asciiTheme="majorHAnsi" w:eastAsiaTheme="majorEastAsia" w:hAnsiTheme="majorHAnsi" w:cstheme="majorBidi"/>
      <w:caps/>
      <w:color w:val="4F81BD" w:themeColor="accent1"/>
      <w:sz w:val="21"/>
      <w:szCs w:val="21"/>
    </w:rPr>
  </w:style>
  <w:style w:type="paragraph" w:styleId="Nadpis2">
    <w:name w:val="heading 2"/>
    <w:basedOn w:val="Normlny"/>
    <w:next w:val="Normlny"/>
    <w:link w:val="Nadpis2Char"/>
    <w:unhideWhenUsed/>
    <w:qFormat/>
    <w:rsid w:val="002179B6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179B6"/>
    <w:rPr>
      <w:rFonts w:asciiTheme="majorHAnsi" w:eastAsiaTheme="majorEastAsia" w:hAnsiTheme="majorHAnsi" w:cstheme="majorBidi"/>
      <w:caps/>
      <w:color w:val="4F81BD" w:themeColor="accent1"/>
      <w:kern w:val="20"/>
      <w:sz w:val="21"/>
      <w:szCs w:val="21"/>
      <w:lang w:eastAsia="ja-JP"/>
    </w:rPr>
  </w:style>
  <w:style w:type="character" w:customStyle="1" w:styleId="Nadpis2Char">
    <w:name w:val="Nadpis 2 Char"/>
    <w:basedOn w:val="Predvolenpsmoodseku"/>
    <w:link w:val="Nadpis2"/>
    <w:rsid w:val="002179B6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</w:rPr>
  </w:style>
  <w:style w:type="paragraph" w:customStyle="1" w:styleId="Textivotopisu">
    <w:name w:val="Text životopisu"/>
    <w:basedOn w:val="Normlny"/>
    <w:qFormat/>
    <w:rsid w:val="002179B6"/>
    <w:pPr>
      <w:spacing w:after="40"/>
      <w:ind w:right="1440"/>
    </w:pPr>
  </w:style>
  <w:style w:type="table" w:customStyle="1" w:styleId="Tabukaivotopisu">
    <w:name w:val="Tabuľka životopisu"/>
    <w:basedOn w:val="Normlnatabuka"/>
    <w:uiPriority w:val="99"/>
    <w:rsid w:val="002179B6"/>
    <w:pPr>
      <w:spacing w:before="40" w:after="160" w:line="288" w:lineRule="auto"/>
    </w:pPr>
    <w:rPr>
      <w:rFonts w:eastAsiaTheme="minorEastAsia"/>
      <w:color w:val="595959" w:themeColor="text1" w:themeTint="A6"/>
      <w:sz w:val="20"/>
      <w:szCs w:val="20"/>
      <w:lang w:eastAsia="ja-JP"/>
    </w:rPr>
    <w:tblPr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Meno">
    <w:name w:val="Meno"/>
    <w:basedOn w:val="Normlny"/>
    <w:next w:val="Normlny"/>
    <w:qFormat/>
    <w:rsid w:val="002179B6"/>
    <w:pPr>
      <w:pBdr>
        <w:top w:val="single" w:sz="4" w:space="4" w:color="4F81BD" w:themeColor="accent1"/>
        <w:left w:val="single" w:sz="4" w:space="6" w:color="4F81BD" w:themeColor="accent1"/>
        <w:bottom w:val="single" w:sz="4" w:space="4" w:color="4F81BD" w:themeColor="accent1"/>
        <w:right w:val="single" w:sz="4" w:space="6" w:color="4F81BD" w:themeColor="accent1"/>
      </w:pBdr>
      <w:shd w:val="clear" w:color="auto" w:fill="4F81B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Default">
    <w:name w:val="Default"/>
    <w:rsid w:val="00217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9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9B6"/>
    <w:rPr>
      <w:rFonts w:ascii="Tahoma" w:eastAsiaTheme="minorEastAsia" w:hAnsi="Tahoma" w:cs="Tahoma"/>
      <w:color w:val="595959" w:themeColor="text1" w:themeTint="A6"/>
      <w:kern w:val="20"/>
      <w:sz w:val="16"/>
      <w:szCs w:val="16"/>
      <w:lang w:eastAsia="ja-JP"/>
    </w:rPr>
  </w:style>
  <w:style w:type="character" w:styleId="Textzstupnhosymbolu">
    <w:name w:val="Placeholder Text"/>
    <w:basedOn w:val="Predvolenpsmoodseku"/>
    <w:uiPriority w:val="99"/>
    <w:semiHidden/>
    <w:rsid w:val="002179B6"/>
    <w:rPr>
      <w:color w:val="808080"/>
    </w:rPr>
  </w:style>
  <w:style w:type="paragraph" w:styleId="Hlavika">
    <w:name w:val="header"/>
    <w:basedOn w:val="Normlny"/>
    <w:link w:val="HlavikaChar"/>
    <w:uiPriority w:val="99"/>
    <w:semiHidden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Pta">
    <w:name w:val="footer"/>
    <w:basedOn w:val="Normlny"/>
    <w:link w:val="PtaChar"/>
    <w:uiPriority w:val="1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1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character" w:styleId="Hypertextovprepojenie">
    <w:name w:val="Hyperlink"/>
    <w:basedOn w:val="Predvolenpsmoodseku"/>
    <w:uiPriority w:val="99"/>
    <w:unhideWhenUsed/>
    <w:rsid w:val="00BA0B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79B6"/>
    <w:pPr>
      <w:spacing w:before="40" w:after="160" w:line="288" w:lineRule="auto"/>
    </w:pPr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Nadpis1">
    <w:name w:val="heading 1"/>
    <w:basedOn w:val="Normlny"/>
    <w:next w:val="Normlny"/>
    <w:link w:val="Nadpis1Char"/>
    <w:unhideWhenUsed/>
    <w:qFormat/>
    <w:rsid w:val="002179B6"/>
    <w:pPr>
      <w:jc w:val="right"/>
      <w:outlineLvl w:val="0"/>
    </w:pPr>
    <w:rPr>
      <w:rFonts w:asciiTheme="majorHAnsi" w:eastAsiaTheme="majorEastAsia" w:hAnsiTheme="majorHAnsi" w:cstheme="majorBidi"/>
      <w:caps/>
      <w:color w:val="4F81BD" w:themeColor="accent1"/>
      <w:sz w:val="21"/>
      <w:szCs w:val="21"/>
    </w:rPr>
  </w:style>
  <w:style w:type="paragraph" w:styleId="Nadpis2">
    <w:name w:val="heading 2"/>
    <w:basedOn w:val="Normlny"/>
    <w:next w:val="Normlny"/>
    <w:link w:val="Nadpis2Char"/>
    <w:unhideWhenUsed/>
    <w:qFormat/>
    <w:rsid w:val="002179B6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179B6"/>
    <w:rPr>
      <w:rFonts w:asciiTheme="majorHAnsi" w:eastAsiaTheme="majorEastAsia" w:hAnsiTheme="majorHAnsi" w:cstheme="majorBidi"/>
      <w:caps/>
      <w:color w:val="4F81BD" w:themeColor="accent1"/>
      <w:kern w:val="20"/>
      <w:sz w:val="21"/>
      <w:szCs w:val="21"/>
      <w:lang w:eastAsia="ja-JP"/>
    </w:rPr>
  </w:style>
  <w:style w:type="character" w:customStyle="1" w:styleId="Nadpis2Char">
    <w:name w:val="Nadpis 2 Char"/>
    <w:basedOn w:val="Predvolenpsmoodseku"/>
    <w:link w:val="Nadpis2"/>
    <w:rsid w:val="002179B6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</w:rPr>
  </w:style>
  <w:style w:type="paragraph" w:customStyle="1" w:styleId="Textivotopisu">
    <w:name w:val="Text životopisu"/>
    <w:basedOn w:val="Normlny"/>
    <w:qFormat/>
    <w:rsid w:val="002179B6"/>
    <w:pPr>
      <w:spacing w:after="40"/>
      <w:ind w:right="1440"/>
    </w:pPr>
  </w:style>
  <w:style w:type="table" w:customStyle="1" w:styleId="Tabukaivotopisu">
    <w:name w:val="Tabuľka životopisu"/>
    <w:basedOn w:val="Normlnatabuka"/>
    <w:uiPriority w:val="99"/>
    <w:rsid w:val="002179B6"/>
    <w:pPr>
      <w:spacing w:before="40" w:after="160" w:line="288" w:lineRule="auto"/>
    </w:pPr>
    <w:rPr>
      <w:rFonts w:eastAsiaTheme="minorEastAsia"/>
      <w:color w:val="595959" w:themeColor="text1" w:themeTint="A6"/>
      <w:sz w:val="20"/>
      <w:szCs w:val="20"/>
      <w:lang w:eastAsia="ja-JP"/>
    </w:rPr>
    <w:tblPr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Meno">
    <w:name w:val="Meno"/>
    <w:basedOn w:val="Normlny"/>
    <w:next w:val="Normlny"/>
    <w:qFormat/>
    <w:rsid w:val="002179B6"/>
    <w:pPr>
      <w:pBdr>
        <w:top w:val="single" w:sz="4" w:space="4" w:color="4F81BD" w:themeColor="accent1"/>
        <w:left w:val="single" w:sz="4" w:space="6" w:color="4F81BD" w:themeColor="accent1"/>
        <w:bottom w:val="single" w:sz="4" w:space="4" w:color="4F81BD" w:themeColor="accent1"/>
        <w:right w:val="single" w:sz="4" w:space="6" w:color="4F81BD" w:themeColor="accent1"/>
      </w:pBdr>
      <w:shd w:val="clear" w:color="auto" w:fill="4F81B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Default">
    <w:name w:val="Default"/>
    <w:rsid w:val="00217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9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9B6"/>
    <w:rPr>
      <w:rFonts w:ascii="Tahoma" w:eastAsiaTheme="minorEastAsia" w:hAnsi="Tahoma" w:cs="Tahoma"/>
      <w:color w:val="595959" w:themeColor="text1" w:themeTint="A6"/>
      <w:kern w:val="20"/>
      <w:sz w:val="16"/>
      <w:szCs w:val="16"/>
      <w:lang w:eastAsia="ja-JP"/>
    </w:rPr>
  </w:style>
  <w:style w:type="character" w:styleId="Textzstupnhosymbolu">
    <w:name w:val="Placeholder Text"/>
    <w:basedOn w:val="Predvolenpsmoodseku"/>
    <w:uiPriority w:val="99"/>
    <w:semiHidden/>
    <w:rsid w:val="002179B6"/>
    <w:rPr>
      <w:color w:val="808080"/>
    </w:rPr>
  </w:style>
  <w:style w:type="paragraph" w:styleId="Hlavika">
    <w:name w:val="header"/>
    <w:basedOn w:val="Normlny"/>
    <w:link w:val="HlavikaChar"/>
    <w:uiPriority w:val="99"/>
    <w:semiHidden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Pta">
    <w:name w:val="footer"/>
    <w:basedOn w:val="Normlny"/>
    <w:link w:val="PtaChar"/>
    <w:uiPriority w:val="1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1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character" w:styleId="Hypertextovprepojenie">
    <w:name w:val="Hyperlink"/>
    <w:basedOn w:val="Predvolenpsmoodseku"/>
    <w:uiPriority w:val="99"/>
    <w:unhideWhenUsed/>
    <w:rsid w:val="00BA0B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2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utexhaj@autexsro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23B9FFA8C5E47209DCA99CABA8248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6D3B92-6152-4480-A016-9F80667F2FF9}"/>
      </w:docPartPr>
      <w:docPartBody>
        <w:p w:rsidR="00CC37A6" w:rsidRDefault="00D96BD1" w:rsidP="00D96BD1">
          <w:pPr>
            <w:pStyle w:val="223B9FFA8C5E47209DCA99CABA8248D5"/>
          </w:pPr>
          <w:r>
            <w:rPr>
              <w:rStyle w:val="Textzstupnhosymbolu"/>
              <w:lang w:bidi="sk-SK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UnicodeM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96BD1"/>
    <w:rsid w:val="000B6C5E"/>
    <w:rsid w:val="000D1AE6"/>
    <w:rsid w:val="001024FE"/>
    <w:rsid w:val="0035232D"/>
    <w:rsid w:val="00687541"/>
    <w:rsid w:val="006F2C48"/>
    <w:rsid w:val="009A0266"/>
    <w:rsid w:val="00AE7377"/>
    <w:rsid w:val="00C4718D"/>
    <w:rsid w:val="00CC37A6"/>
    <w:rsid w:val="00D0731B"/>
    <w:rsid w:val="00D238A2"/>
    <w:rsid w:val="00D9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37A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D96BD1"/>
    <w:rPr>
      <w:color w:val="808080"/>
    </w:rPr>
  </w:style>
  <w:style w:type="paragraph" w:customStyle="1" w:styleId="223B9FFA8C5E47209DCA99CABA8248D5">
    <w:name w:val="223B9FFA8C5E47209DCA99CABA8248D5"/>
    <w:rsid w:val="00D96BD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AUTEX HM 46</dc:creator>
  <cp:lastModifiedBy>AUTEX-ZA</cp:lastModifiedBy>
  <cp:revision>2</cp:revision>
  <cp:lastPrinted>2019-03-12T13:42:00Z</cp:lastPrinted>
  <dcterms:created xsi:type="dcterms:W3CDTF">2022-03-24T13:25:00Z</dcterms:created>
  <dcterms:modified xsi:type="dcterms:W3CDTF">2022-03-24T13:25:00Z</dcterms:modified>
</cp:coreProperties>
</file>